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05470F44" w:rsidR="00D0169F" w:rsidRDefault="00D0169F">
                                      <w:pPr>
                                        <w:pStyle w:val="NoSpacing"/>
                                        <w:jc w:val="right"/>
                                        <w:rPr>
                                          <w:color w:val="FFFFFF" w:themeColor="background1"/>
                                          <w:sz w:val="28"/>
                                          <w:szCs w:val="28"/>
                                        </w:rPr>
                                      </w:pPr>
                                      <w:r>
                                        <w:rPr>
                                          <w:color w:val="FFFFFF" w:themeColor="background1"/>
                                          <w:sz w:val="28"/>
                                          <w:szCs w:val="28"/>
                                        </w:rPr>
                                        <w:t>febrero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D0169F" w:rsidRDefault="00D0169F">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D0169F" w:rsidRDefault="00C715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C715CA">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D0169F" w:rsidRDefault="00C715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C715CA">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D0169F" w:rsidRDefault="00C715C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0169F">
                                      <w:rPr>
                                        <w:color w:val="5B9BD5" w:themeColor="accent1"/>
                                        <w:sz w:val="26"/>
                                        <w:szCs w:val="26"/>
                                      </w:rPr>
                                      <w:t>J. Javier Cordón Noguera</w:t>
                                    </w:r>
                                  </w:sdtContent>
                                </w:sdt>
                              </w:p>
                              <w:p w14:paraId="12961563" w14:textId="62FA5CC3" w:rsidR="00D0169F" w:rsidRDefault="00C715C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0169F">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D0169F" w:rsidRDefault="00D0169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D0169F" w:rsidRDefault="00D0169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Revisión avances con CIAA y Spartan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75101A3C" w:rsidR="00503979" w:rsidRPr="008A2082" w:rsidRDefault="00503979" w:rsidP="00A34FCD">
      <w:pPr>
        <w:pStyle w:val="Heading1"/>
      </w:pPr>
      <w:bookmarkStart w:id="1" w:name="_Toc531184202"/>
      <w:r w:rsidRPr="008A2082">
        <w:t>Lista de distribució</w:t>
      </w:r>
      <w:bookmarkEnd w:id="1"/>
      <w:r w:rsidR="00B115EC">
        <w:t>n</w:t>
      </w:r>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C715CA">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C715CA">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C715CA">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C715CA">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C715CA">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C715CA">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C715CA">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C715CA">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C715CA">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C715CA">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C715CA">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C715CA">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C715CA">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C715CA">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C715CA">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C715CA">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C715CA">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C715CA">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C715CA">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C715CA">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C715CA">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C715CA">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C715CA">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C715CA">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C715CA">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C715CA">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C715CA">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C715CA">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por Natalia M. Requejo.</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End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End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r w:rsidR="00CB715E" w:rsidRPr="008A2082">
        <w:t>encoder</w:t>
      </w:r>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r w:rsidRPr="008A2082">
        <w:t>Encoder</w:t>
      </w:r>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(i.g.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mostrar la medición en una pantalla adicional o interfaz visual. El encoder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Manual de Service</w:t>
      </w:r>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Manual de uso y service</w:t>
      </w:r>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1.2 Búsqueda de papers relacionados a instrumentos con Efecto Hall</w:t>
      </w:r>
    </w:p>
    <w:p w14:paraId="0B34F913" w14:textId="1A3EF6B3" w:rsidR="00103B44" w:rsidRPr="008A2082" w:rsidRDefault="002176E5" w:rsidP="00CF6B9F">
      <w:pPr>
        <w:ind w:left="708"/>
      </w:pPr>
      <w:r>
        <w:t xml:space="preserve">1.3 Asesoría </w:t>
      </w:r>
      <w:r w:rsidR="00103B44" w:rsidRPr="008A2082">
        <w:t>con Ing. Lamura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falla en primer fase.</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encoder magnético. Estas soluciones brindan robustez y rigidez a través de una guía lineal sólida en combinación de un encoder magnético </w:t>
      </w:r>
      <w:r w:rsidR="0007769D">
        <w:t xml:space="preserve">u óptico </w:t>
      </w:r>
      <w:r w:rsidRPr="008A2082">
        <w:t>de alta precisión. El enc</w:t>
      </w:r>
      <w:r w:rsidR="0007769D">
        <w:t>oder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Métodos de medición del encoder</w:t>
      </w:r>
      <w:bookmarkEnd w:id="15"/>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End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El valor de la posición está disponible inmediatamente al momento de encender el encoder, y puede ser solicitada en cualquier momento posterior.</w:t>
      </w:r>
    </w:p>
    <w:p w14:paraId="5E36210F" w14:textId="7393BE93" w:rsidR="009964BC" w:rsidRPr="008A2082" w:rsidRDefault="009964BC" w:rsidP="00E612EE">
      <w:pPr>
        <w:jc w:val="both"/>
      </w:pPr>
      <w:r w:rsidRPr="008A2082">
        <w:t>Encoders que operan con el método de medida absoluto, despliegan valores de posición. Algunas interfaces también proveen señales incrementales.</w:t>
      </w:r>
    </w:p>
    <w:p w14:paraId="5D9F2160" w14:textId="05A551A8" w:rsidR="009964BC" w:rsidRDefault="009964BC" w:rsidP="00E612EE">
      <w:pPr>
        <w:jc w:val="both"/>
      </w:pPr>
      <w:r w:rsidRPr="008A2082">
        <w:t>Encoders absolutos no requieren de una referencia para operar, es una ventaja particular en sistemas de manufactura, líneas de transferencia, o máquinas con mas de un grado de libertad. Estos equipos también son altamente resistentes a interfaces EMC.</w:t>
      </w:r>
      <w:r w:rsidR="004C2569">
        <w:t xml:space="preserve"> </w:t>
      </w:r>
      <w:sdt>
        <w:sdtPr>
          <w:id w:val="1706669336"/>
          <w:citation/>
        </w:sdtPr>
        <w:sdtEnd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En el presente proyecto se utiliza un encoder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Adaptan la señal de los encoders a la interfaz electrónica subsecuente. Son utilizadas cuando la interfaz electrónica subsecuente no puede procesar directamente la salida del encoder, o necesita interpolación adicional de la señal.</w:t>
      </w:r>
      <w:r w:rsidR="007F21C4" w:rsidRPr="008A2082">
        <w:t xml:space="preserve"> En la figura 3</w:t>
      </w:r>
      <w:r w:rsidR="001A20A9" w:rsidRPr="008A2082">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:Conexión directa entre Encoder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1 Vpp</w:t>
      </w:r>
      <w:bookmarkEnd w:id="19"/>
    </w:p>
    <w:p w14:paraId="46E96C55" w14:textId="40B351F8" w:rsidR="009964BC" w:rsidRPr="008A2082" w:rsidRDefault="009964BC" w:rsidP="00694DDA">
      <w:pPr>
        <w:jc w:val="both"/>
      </w:pPr>
      <w:r w:rsidRPr="008A2082">
        <w:t xml:space="preserve">El encoder de </w:t>
      </w:r>
      <w:r w:rsidR="007F21C4" w:rsidRPr="008A2082">
        <w:t xml:space="preserve">marca </w:t>
      </w:r>
      <w:r w:rsidRPr="008A2082">
        <w:t xml:space="preserve">HEIDENHAIN con una señal de 1 Vpp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Vpp.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A,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Umbral inferior: 0.30 Vpp</w:t>
      </w:r>
    </w:p>
    <w:p w14:paraId="68DB1AAC" w14:textId="77777777" w:rsidR="009964BC" w:rsidRPr="008A2082" w:rsidRDefault="009964BC" w:rsidP="009C5B6C">
      <w:pPr>
        <w:ind w:left="708"/>
      </w:pPr>
      <w:r w:rsidRPr="008A2082">
        <w:t>Umbral superior: 1.35 Vpp</w:t>
      </w:r>
    </w:p>
    <w:p w14:paraId="389B279B" w14:textId="18629B75" w:rsidR="009964BC" w:rsidRPr="008A2082" w:rsidRDefault="009964BC" w:rsidP="009964BC">
      <w:r w:rsidRPr="008A2082">
        <w:t xml:space="preserve">Con un osciloscopio se pueden monitorear las señales A y B con una figura Lissajous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Medidor de posición tipo E, marca HIWIN, en adelante encoder de señal analógica.</w:t>
      </w:r>
    </w:p>
    <w:p w14:paraId="20332716" w14:textId="5EAC1F0D" w:rsidR="004B307C" w:rsidRPr="008A2082" w:rsidRDefault="004B307C" w:rsidP="0033435C">
      <w:pPr>
        <w:pStyle w:val="ListParagraph"/>
        <w:numPr>
          <w:ilvl w:val="0"/>
          <w:numId w:val="4"/>
        </w:numPr>
      </w:pPr>
      <w:r>
        <w:t>Contador de alta eficiencia de un eje, marca HIWIN, en adelante Display.</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r>
        <w:t>Encoder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encoder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El encoder tiene una salida analógica, a prueba de agua y con protección de clase IP67.</w:t>
      </w:r>
    </w:p>
    <w:p w14:paraId="73C8C5A7" w14:textId="4ED50B2C" w:rsidR="004F1B4C" w:rsidRPr="007A5D2A" w:rsidRDefault="004F1B4C" w:rsidP="007A5D2A">
      <w:pPr>
        <w:jc w:val="both"/>
      </w:pPr>
      <w:r>
        <w:t>A continuación, una tabla en donde se detallan las especificaciones del encoder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Especificaciones del encoder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r>
        <w:t>Display</w:t>
      </w:r>
      <w:bookmarkEnd w:id="25"/>
    </w:p>
    <w:p w14:paraId="3B38CFD2" w14:textId="77777777" w:rsidR="00507B49" w:rsidRDefault="00507B49" w:rsidP="001E71FC">
      <w:r>
        <w:t xml:space="preserve">El Display a utilizar se conecta directamente al encoder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Display Hiwin de alta eficiencia para contadores de un eje</w:t>
      </w:r>
    </w:p>
    <w:p w14:paraId="04EBDC67" w14:textId="7A8497AC" w:rsidR="00507B49" w:rsidRDefault="00507B49" w:rsidP="00507B49">
      <w:pPr>
        <w:jc w:val="both"/>
      </w:pPr>
      <w:r>
        <w:t>Cuenta con tecnología LED para mostrar la distancia medida. Puede ser utilizado con encoders de tipo digital óptico. En su interfaz tiene distintas señales de salida las cuales se aprovecharán en el presente proyecto, en particular, las señales A y B muestreadas de la regla digital, con amplitud de 1Vpp. El display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Especificaciones del Display</w:t>
      </w:r>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Función para configurar 8 presets</w:t>
      </w:r>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CPU y Debugger</w:t>
      </w:r>
    </w:p>
    <w:p w14:paraId="5976DC09" w14:textId="77777777" w:rsidR="00DA2F90" w:rsidRDefault="00DA2F90" w:rsidP="00DA2F90">
      <w:pPr>
        <w:pStyle w:val="ListParagraph"/>
        <w:numPr>
          <w:ilvl w:val="0"/>
          <w:numId w:val="6"/>
        </w:numPr>
      </w:pPr>
      <w:r>
        <w:t>Microcontrolador LPC4337JDB144 Datasheet, User Manual. (Dual-core Cortex-M4 + Cortex-M0 @ 204MHz).</w:t>
      </w:r>
    </w:p>
    <w:p w14:paraId="3FE4343D" w14:textId="77777777" w:rsidR="00DA2F90" w:rsidRDefault="00DA2F90" w:rsidP="00DA2F90">
      <w:pPr>
        <w:pStyle w:val="ListParagraph"/>
        <w:numPr>
          <w:ilvl w:val="0"/>
          <w:numId w:val="6"/>
        </w:numPr>
      </w:pPr>
      <w:r>
        <w:t>USB-to-JTAG FT2232H. Soportado por OpenOCD.</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Ethernet con soporte PoE (requiere módulo de alimentación PoE) (detalles técnicos)</w:t>
      </w:r>
    </w:p>
    <w:p w14:paraId="45EBAD0E" w14:textId="77777777" w:rsidR="00DA2F90" w:rsidRDefault="00DA2F90" w:rsidP="00DA2F90">
      <w:pPr>
        <w:pStyle w:val="ListParagraph"/>
        <w:numPr>
          <w:ilvl w:val="0"/>
          <w:numId w:val="8"/>
        </w:numPr>
      </w:pPr>
      <w:r>
        <w:t>USB On-The-Go</w:t>
      </w:r>
    </w:p>
    <w:p w14:paraId="7D5AB9DD" w14:textId="77777777" w:rsidR="00DA2F90" w:rsidRDefault="00DA2F90" w:rsidP="00DA2F90">
      <w:pPr>
        <w:pStyle w:val="ListParagraph"/>
        <w:numPr>
          <w:ilvl w:val="0"/>
          <w:numId w:val="8"/>
        </w:numPr>
      </w:pPr>
      <w:r>
        <w:t>USB Device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8 entradas digitales optoacopladas</w:t>
      </w:r>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open-drain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Default="008D45BD" w:rsidP="000B515E">
      <w:pPr>
        <w:pStyle w:val="Heading2"/>
      </w:pPr>
      <w:bookmarkStart w:id="27" w:name="_Toc531184228"/>
      <w:r>
        <w:lastRenderedPageBreak/>
        <w:t>Operación fundamental de un Encoder Sinusoidal</w:t>
      </w:r>
      <w:bookmarkEnd w:id="27"/>
    </w:p>
    <w:p w14:paraId="41BC8D30" w14:textId="06A2305C" w:rsidR="008D45BD" w:rsidRDefault="008D45BD" w:rsidP="00D26E1C">
      <w:pPr>
        <w:jc w:val="both"/>
      </w:pPr>
      <w:r>
        <w:t>Los encoders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encoder,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Interfaz típica de encoder sinusoidal.</w:t>
      </w:r>
    </w:p>
    <w:p w14:paraId="4F7CED23" w14:textId="19AE3198" w:rsidR="00D26E1C" w:rsidRDefault="00B01151" w:rsidP="00B01151">
      <w:pPr>
        <w:jc w:val="both"/>
      </w:pPr>
      <w:r>
        <w:t xml:space="preserve">Para poder extraer una posición de mayor resolución e información de la velocidad de las señales de un encoder sinusoidal, se debe realizar un pre-acondicionamiento de las señales analógicas. Como </w:t>
      </w:r>
      <w:r w:rsidR="00D95AE8">
        <w:t>primera etapa</w:t>
      </w:r>
      <w:r>
        <w:t>, la señal diferencial entre la sinusoide y el coseno (típicamente de 1Vpp) del encoder sinusoidal, debe ser aplicada.</w:t>
      </w:r>
      <w:r w:rsidR="00D95AE8">
        <w:t xml:space="preserve"> Esto garantiza la máxima inmunidad al ruido y puede ser amplificada y desplazada a posteriori.  </w:t>
      </w:r>
      <w:r w:rsidR="00AD6BBC">
        <w:t>En el presente proyecto, el display recibe la señal del encoder y realiza esta primera etapa. De esta manera obtenemos una señal de salida del Display,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nos permite tener una resolución de ¼ la distancia entre ciclos, es decir 5mm/4=1.25mm. Si bien puede ser considerada como referencia, la principal utilidad de la misma es, conocer el sentido en que se desplaza el encoder.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r>
        <w:t>Spartan 7</w:t>
      </w:r>
      <w:r w:rsidR="002007BE">
        <w:t xml:space="preserve"> </w:t>
      </w:r>
      <w:r w:rsidR="005E04A1">
        <w:t>S</w:t>
      </w:r>
      <w:bookmarkEnd w:id="29"/>
    </w:p>
    <w:p w14:paraId="7E19FF9F" w14:textId="2F3B8925" w:rsidR="003D3E03" w:rsidRDefault="005E04A1" w:rsidP="005E04A1">
      <w:pPr>
        <w:jc w:val="both"/>
      </w:pPr>
      <w:r>
        <w:t xml:space="preserve">El ADC de un Spartan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Spartan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End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C715CA"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(cuantizadas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Cuantización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End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Encoder o Display.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encoder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Gráfico de posición para un encoder desplazado a velocidad constante sobre la regla magnética</w:t>
      </w:r>
    </w:p>
    <w:p w14:paraId="323DB66B" w14:textId="77777777" w:rsidR="000671B7" w:rsidRPr="000671B7" w:rsidRDefault="000671B7" w:rsidP="000671B7"/>
    <w:p w14:paraId="3353164E" w14:textId="24600332" w:rsidR="00D834ED" w:rsidRDefault="001B2207" w:rsidP="000B515E">
      <w:r>
        <w:t>Finalmente, para conocer la posición del encoder,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FreeRTOS,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trigger, es para poder medir el tiempo que tarda en realizar la muestra de las dos señales y el tiempo del FreeRTOS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En la Figura 25, el tiempo total desde que inicia la tarea, hasta que se vuelve a repetir, es de 7.15us. De esta manera podemos obtener el tiempo que tarda el FreeRTOS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Con estas consideraciones, se procede a calcular la velocidad máxima admisible en el desplazamiento lineal del encoder.</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um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C715CA"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C715CA"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Considerando la hoja de datos y especificaciones de los instrumentos, la regla magnética tiene un error de 80um y el encoder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C715CA"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C715CA"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C715CA"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C715CA"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C715CA"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63E8BCDD" w:rsidR="00F13B66" w:rsidRPr="00B01191" w:rsidRDefault="005E3816" w:rsidP="00A86295">
      <w:pPr>
        <w:rPr>
          <w:rFonts w:eastAsiaTheme="minorEastAsia"/>
        </w:rPr>
      </w:pPr>
      <w:r>
        <w:rPr>
          <w:rFonts w:eastAsiaTheme="minorEastAsia"/>
          <w:highlight w:val="yellow"/>
        </w:rPr>
        <w:lastRenderedPageBreak/>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6k = 13 us disponibles para poder transmitir la información.</w:t>
      </w:r>
      <w:r w:rsidR="00B01191">
        <w:rPr>
          <w:rFonts w:eastAsiaTheme="minorEastAsia"/>
        </w:rPr>
        <w:t xml:space="preserve"> </w:t>
      </w:r>
      <w:r w:rsidR="00D873DB" w:rsidRPr="00D873DB">
        <w:rPr>
          <w:rFonts w:eastAsiaTheme="minorEastAsia"/>
          <w:highlight w:val="yellow"/>
        </w:rPr>
        <w:t>A implementar opcionalmente un I2C,SPI, o I2S, en caso de ser tiempos poco favorables, implementar una salida paralela.</w:t>
      </w:r>
      <w:r w:rsidR="00D0169F">
        <w:rPr>
          <w:rFonts w:eastAsiaTheme="minorEastAsia"/>
        </w:rPr>
        <w:t xml:space="preserve"> La velocidad máxima del I2C del LPC4337 es de 1Mhz.</w:t>
      </w:r>
      <w:r w:rsidR="007932BC">
        <w:rPr>
          <w:rFonts w:eastAsiaTheme="minorEastAsia"/>
        </w:rPr>
        <w:t xml:space="preserve"> Si enviamos 21 bits de datos para la posición </w:t>
      </w:r>
      <w:r w:rsidR="00AA4649">
        <w:rPr>
          <w:rFonts w:eastAsiaTheme="minorEastAsia"/>
        </w:rPr>
        <w:t xml:space="preserve">(I2C tiene 8 bits + 1 ACK, son 9, pero de los 8, 1 es para R/W, entonces por cada mensaje tenemos 7 dipsponibles) Se necesitan 9*4=36 bits (considerando que la direcci’on es lo primero que enviamos como protocolo). Esto nos da 36bit/1Mhz 36uS como el mejor tiempo para enviar un mensaje con la posición, considerando </w:t>
      </w:r>
      <w:r w:rsidR="002D325A">
        <w:rPr>
          <w:rFonts w:eastAsiaTheme="minorEastAsia"/>
        </w:rPr>
        <w:t xml:space="preserve">que no hay tiempos muertos antes y después de enviar el mensaje, que seguramente los hay y habrá que medir. Si le sumamos el mejor tiempo logrado de 125kHz o su equivalente de 8uS. Tenemos 44uS de tiempo efectivo de muestreo y envio. </w:t>
      </w:r>
      <w:r w:rsidR="00734796">
        <w:rPr>
          <w:rFonts w:eastAsiaTheme="minorEastAsia"/>
        </w:rPr>
        <w:t xml:space="preserve">Aproximadamente 22.7kHz de Muestreo. Con una capacidad máxima de muestreo de 44um. </w:t>
      </w:r>
      <w:r w:rsidR="00E2328B">
        <w:rPr>
          <w:rFonts w:eastAsiaTheme="minorEastAsia"/>
        </w:rPr>
        <w:t xml:space="preserve"> Sabemos que cada división sin acondicionar la señal es de 16.11 um, y ocupa hasta 310.303divisiones. Entonces llegamos a los 5mm. Si muestreo a 23kHz, en 1m/s obtengo 23k muestras. </w:t>
      </w:r>
      <w:r w:rsidR="008B787C">
        <w:rPr>
          <w:rFonts w:eastAsiaTheme="minorEastAsia"/>
        </w:rPr>
        <w:t xml:space="preserve">23kmuestras/s </w:t>
      </w:r>
      <w:r w:rsidR="00CF0D68">
        <w:rPr>
          <w:rFonts w:eastAsiaTheme="minorEastAsia"/>
        </w:rPr>
        <w:t>debi recorrer 1metro, que son 200 veces el periodo de 5mm. 23(kM/s)/200(ciclo=T)=115M/(ciclo). Es decir que en 5mm tengo 115 muestras. El máximo numero de bits es de 6.84. Digamos 6, entonces tendre 2^6=64 divisiones. 5mm/64=78.125um de resolución. Aun por debajo de los 100um de error de la regla.</w:t>
      </w:r>
      <w:r w:rsidR="00C13A47">
        <w:rPr>
          <w:rFonts w:eastAsiaTheme="minorEastAsia"/>
        </w:rPr>
        <w:t xml:space="preserve"> No puedo llegar a 5 bits porque esto ya seria 156um de resolución y supera el error de la regla.</w:t>
      </w:r>
      <w:r w:rsidR="00B077D0">
        <w:rPr>
          <w:rFonts w:eastAsiaTheme="minorEastAsia"/>
        </w:rPr>
        <w:t xml:space="preserve"> Entonces mi limite son los 6 bits de resolución</w:t>
      </w:r>
      <w:r w:rsidR="00623722">
        <w:rPr>
          <w:rFonts w:eastAsiaTheme="minorEastAsia"/>
        </w:rPr>
        <w:t xml:space="preserve"> = 64 divisiones o 64 muestras por periodo x 200 periodos/s = 12</w:t>
      </w:r>
      <w:r w:rsidR="00982CD3">
        <w:rPr>
          <w:rFonts w:eastAsiaTheme="minorEastAsia"/>
        </w:rPr>
        <w:t>.8</w:t>
      </w:r>
      <w:r w:rsidR="00623722">
        <w:rPr>
          <w:rFonts w:eastAsiaTheme="minorEastAsia"/>
        </w:rPr>
        <w:t>kHz</w:t>
      </w:r>
      <w:r w:rsidR="00982CD3">
        <w:rPr>
          <w:rFonts w:eastAsiaTheme="minorEastAsia"/>
        </w:rPr>
        <w:t xml:space="preserve">=78.12uS, si tengo 8uS de ADC y arctan. Me quedan 70uS para transmitir la data y tareas muertas. (de los 70uS se que necesito 36uS para los 36 bits a 1Mhz) es decir que como máximo puedo tener un tiempo muerto de </w:t>
      </w:r>
      <w:r w:rsidR="00982CD3" w:rsidRPr="00491646">
        <w:rPr>
          <w:rFonts w:eastAsiaTheme="minorEastAsia"/>
          <w:b/>
          <w:color w:val="FF0000"/>
        </w:rPr>
        <w:t>34uS.</w:t>
      </w:r>
      <w:r w:rsidR="007234D3" w:rsidRPr="00491646">
        <w:rPr>
          <w:rFonts w:eastAsiaTheme="minorEastAsia"/>
          <w:color w:val="FF0000"/>
        </w:rPr>
        <w:t xml:space="preserve"> </w:t>
      </w:r>
      <w:r w:rsidR="007234D3">
        <w:rPr>
          <w:rFonts w:eastAsiaTheme="minorEastAsia"/>
        </w:rPr>
        <w:t xml:space="preserve">De nuevo, pensarlo como si recibire como máximo 64 muestras por periodo, eso me da saltos de  78um suponiendo velocidad constante de 1m/s. La minima resolución sabemos que es 16.11um. Por lo que la aproximación es </w:t>
      </w:r>
      <w:r w:rsidR="00743F8E">
        <w:rPr>
          <w:rFonts w:eastAsiaTheme="minorEastAsia"/>
        </w:rPr>
        <w:t>78 +- 16.11 = 94um</w:t>
      </w:r>
      <w:r w:rsidR="00E939C4">
        <w:rPr>
          <w:rFonts w:eastAsiaTheme="minorEastAsia"/>
        </w:rPr>
        <w:t xml:space="preserve"> como maximo</w:t>
      </w:r>
    </w:p>
    <w:p w14:paraId="53947D9E" w14:textId="04729A5C" w:rsidR="00F13B66" w:rsidRDefault="00F13B66" w:rsidP="00713720">
      <w:pPr>
        <w:jc w:val="center"/>
        <w:rPr>
          <w:rFonts w:eastAsiaTheme="minorEastAsia"/>
        </w:rPr>
      </w:pPr>
      <w:r w:rsidRPr="00F13B66">
        <w:rPr>
          <w:rFonts w:eastAsiaTheme="minorEastAsia"/>
          <w:noProof/>
          <w:lang w:val="en-US" w:eastAsia="ja-JP"/>
        </w:rPr>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9882" cy="1715311"/>
                    </a:xfrm>
                    <a:prstGeom prst="rect">
                      <a:avLst/>
                    </a:prstGeom>
                  </pic:spPr>
                </pic:pic>
              </a:graphicData>
            </a:graphic>
          </wp:inline>
        </w:drawing>
      </w:r>
    </w:p>
    <w:p w14:paraId="6294A3CC" w14:textId="77777777" w:rsidR="00B04FD1" w:rsidRDefault="00B04FD1" w:rsidP="00713720">
      <w:pPr>
        <w:jc w:val="center"/>
        <w:rPr>
          <w:rFonts w:eastAsiaTheme="minorEastAsia"/>
        </w:rPr>
      </w:pPr>
    </w:p>
    <w:p w14:paraId="3D111E90" w14:textId="42F50F13" w:rsidR="008370C1" w:rsidRDefault="008370C1" w:rsidP="00713720">
      <w:pPr>
        <w:jc w:val="center"/>
        <w:rPr>
          <w:rFonts w:eastAsiaTheme="minorEastAsia"/>
        </w:rPr>
      </w:pPr>
      <w:r w:rsidRPr="008370C1">
        <w:rPr>
          <w:rFonts w:eastAsiaTheme="minorEastAsia"/>
          <w:noProof/>
          <w:lang w:val="en-US" w:eastAsia="ja-JP"/>
        </w:rPr>
        <w:lastRenderedPageBreak/>
        <w:drawing>
          <wp:inline distT="0" distB="0" distL="0" distR="0" wp14:anchorId="4E5034BA" wp14:editId="635DB27C">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84805"/>
                    </a:xfrm>
                    <a:prstGeom prst="rect">
                      <a:avLst/>
                    </a:prstGeom>
                  </pic:spPr>
                </pic:pic>
              </a:graphicData>
            </a:graphic>
          </wp:inline>
        </w:drawing>
      </w:r>
    </w:p>
    <w:p w14:paraId="31EC02BC" w14:textId="7162F15D" w:rsidR="00B04FD1" w:rsidRDefault="00B04FD1" w:rsidP="00713720">
      <w:pPr>
        <w:jc w:val="center"/>
        <w:rPr>
          <w:rFonts w:eastAsiaTheme="minorEastAsia"/>
        </w:rPr>
      </w:pPr>
      <w:r w:rsidRPr="00B04FD1">
        <w:rPr>
          <w:rFonts w:eastAsiaTheme="minorEastAsia"/>
          <w:noProof/>
          <w:lang w:val="en-US" w:eastAsia="ja-JP"/>
        </w:rPr>
        <w:drawing>
          <wp:inline distT="0" distB="0" distL="0" distR="0" wp14:anchorId="7BD26289" wp14:editId="0EAC354B">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162810"/>
                    </a:xfrm>
                    <a:prstGeom prst="rect">
                      <a:avLst/>
                    </a:prstGeom>
                  </pic:spPr>
                </pic:pic>
              </a:graphicData>
            </a:graphic>
          </wp:inline>
        </w:drawing>
      </w:r>
    </w:p>
    <w:p w14:paraId="0F262B83" w14:textId="77777777" w:rsidR="00406BF1" w:rsidRDefault="00406BF1" w:rsidP="00406BF1">
      <w:pPr>
        <w:rPr>
          <w:rFonts w:eastAsiaTheme="minorEastAsia"/>
        </w:rPr>
      </w:pPr>
    </w:p>
    <w:p w14:paraId="465FE8D4" w14:textId="67AC78E4" w:rsidR="00406BF1" w:rsidRDefault="00406BF1" w:rsidP="00713720">
      <w:pPr>
        <w:jc w:val="center"/>
        <w:rPr>
          <w:rFonts w:eastAsiaTheme="minorEastAsia"/>
        </w:rPr>
      </w:pPr>
      <w:r w:rsidRPr="00406BF1">
        <w:rPr>
          <w:rFonts w:eastAsiaTheme="minorEastAsia"/>
          <w:noProof/>
          <w:lang w:val="en-US" w:eastAsia="ja-JP"/>
        </w:rPr>
        <w:drawing>
          <wp:inline distT="0" distB="0" distL="0" distR="0" wp14:anchorId="5EA69F83" wp14:editId="095B335A">
            <wp:extent cx="4400915" cy="15864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579" cy="1600779"/>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 xml:space="preserve">obtenidos por el procesamiento y adquisición de datos con la CIAA. Las señales se simulan las del sistema de regla digital magnética y fueron creadas con dos generadores de señales. En el primer gráfico se aprecian las dos señales </w:t>
      </w:r>
      <w:r w:rsidR="00EE1956">
        <w:rPr>
          <w:rFonts w:eastAsiaTheme="minorEastAsia"/>
        </w:rPr>
        <w:lastRenderedPageBreak/>
        <w:t>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2" w:name="_Toc531184233"/>
      <w:r>
        <w:t>Resultados experimentales con Spartan 7</w:t>
      </w:r>
      <w:bookmarkEnd w:id="32"/>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inclusión de resultados experimentales con Spartan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3" w:name="_Toc531184234"/>
      <w:r w:rsidRPr="008A2082">
        <w:lastRenderedPageBreak/>
        <w:t>Conclusiones</w:t>
      </w:r>
      <w:bookmarkEnd w:id="33"/>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4" w:name="_Toc531184235"/>
      <w:r w:rsidRPr="008A2082">
        <w:lastRenderedPageBreak/>
        <w:t>Glosario</w:t>
      </w:r>
      <w:bookmarkEnd w:id="34"/>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5" w:name="_Toc531184236"/>
      <w:r w:rsidRPr="008A2082">
        <w:lastRenderedPageBreak/>
        <w:t>Bibliografía</w:t>
      </w:r>
      <w:bookmarkEnd w:id="35"/>
      <w:sdt>
        <w:sdtPr>
          <w:id w:val="947577373"/>
          <w:citation/>
        </w:sdtPr>
        <w:sdtEnd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EndPr/>
      <w:sdtContent>
        <w:sdt>
          <w:sdtPr>
            <w:id w:val="111145805"/>
            <w:bibliography/>
          </w:sdtPr>
          <w:sdtEnd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6" w:name="_Toc531184237"/>
      <w:r w:rsidRPr="008A2082">
        <w:t>Anexo I</w:t>
      </w:r>
      <w:bookmarkEnd w:id="36"/>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7" w:name="_Toc531184238"/>
      <w:r w:rsidRPr="008A2082">
        <w:lastRenderedPageBreak/>
        <w:t>Anexo II</w:t>
      </w:r>
      <w:bookmarkEnd w:id="37"/>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8" w:name="_Toc531184239"/>
      <w:r w:rsidRPr="008A2082">
        <w:lastRenderedPageBreak/>
        <w:t>Anexo I</w:t>
      </w:r>
      <w:r>
        <w:t>I</w:t>
      </w:r>
      <w:r w:rsidRPr="008A2082">
        <w:t>I</w:t>
      </w:r>
      <w:bookmarkEnd w:id="38"/>
    </w:p>
    <w:p w14:paraId="1B847A6D" w14:textId="08DD1AED" w:rsidR="00DC16FE" w:rsidRDefault="00754B85" w:rsidP="00754B85">
      <w:pPr>
        <w:pStyle w:val="Heading2"/>
      </w:pPr>
      <w:bookmarkStart w:id="39" w:name="_Toc531184240"/>
      <w:r>
        <w:t>Bitácora de revisiones</w:t>
      </w:r>
      <w:bookmarkEnd w:id="39"/>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El protocolo de salida de la señal procesada puede ser el que me resulte más práctico, como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28363F">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55" w:type="dxa"/>
          </w:tcPr>
          <w:p w14:paraId="50EA0D01" w14:textId="2DC103C4" w:rsidR="00754B85" w:rsidRDefault="0028363F" w:rsidP="00754B85">
            <w:r>
              <w:t>08</w:t>
            </w:r>
            <w:r w:rsidR="006927C6">
              <w:t>-02-2019</w:t>
            </w:r>
          </w:p>
        </w:tc>
        <w:tc>
          <w:tcPr>
            <w:tcW w:w="5428" w:type="dxa"/>
          </w:tcPr>
          <w:p w14:paraId="3E01D1C7" w14:textId="4C2954CC" w:rsidR="00754B85" w:rsidRDefault="0028363F" w:rsidP="00754B85">
            <w:pPr>
              <w:cnfStyle w:val="000000100000" w:firstRow="0" w:lastRow="0" w:firstColumn="0" w:lastColumn="0" w:oddVBand="0" w:evenVBand="0" w:oddHBand="1" w:evenHBand="0" w:firstRowFirstColumn="0" w:firstRowLastColumn="0" w:lastRowFirstColumn="0" w:lastRowLastColumn="0"/>
            </w:pPr>
            <w:r>
              <w:t xml:space="preserve">Reunión con Guillermo La Mura, se comentan los resultados obtenidos del último firmware desarrollado, logrando una mejora en algoritmo que permite obtener velocidad de muestreo de 125kHz o con la opción de incluir comunicación I2C (42ms) logrando una muestra por I2C cada 50ms. </w:t>
            </w:r>
            <w:bookmarkStart w:id="40" w:name="_GoBack"/>
            <w:bookmarkEnd w:id="40"/>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8"/>
      <w:footerReference w:type="even" r:id="rId49"/>
      <w:footerReference w:type="default" r:id="rId5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4D4D2" w14:textId="77777777" w:rsidR="00C715CA" w:rsidRDefault="00C715CA" w:rsidP="00A7624C">
      <w:pPr>
        <w:spacing w:after="0" w:line="240" w:lineRule="auto"/>
      </w:pPr>
      <w:r>
        <w:separator/>
      </w:r>
    </w:p>
  </w:endnote>
  <w:endnote w:type="continuationSeparator" w:id="0">
    <w:p w14:paraId="1EE8AB9F" w14:textId="77777777" w:rsidR="00C715CA" w:rsidRDefault="00C715CA"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D0169F" w:rsidRDefault="00D0169F"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8363F">
      <w:rPr>
        <w:rStyle w:val="PageNumber"/>
        <w:noProof/>
      </w:rPr>
      <w:t>41</w:t>
    </w:r>
    <w:r>
      <w:rPr>
        <w:rStyle w:val="PageNumber"/>
      </w:rPr>
      <w:fldChar w:fldCharType="end"/>
    </w:r>
  </w:p>
  <w:p w14:paraId="7BC7AFA4" w14:textId="77777777" w:rsidR="00D0169F" w:rsidRDefault="00D0169F"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ED2E10" w14:textId="77777777" w:rsidR="00C715CA" w:rsidRDefault="00C715CA" w:rsidP="00A7624C">
      <w:pPr>
        <w:spacing w:after="0" w:line="240" w:lineRule="auto"/>
      </w:pPr>
      <w:r>
        <w:separator/>
      </w:r>
    </w:p>
  </w:footnote>
  <w:footnote w:type="continuationSeparator" w:id="0">
    <w:p w14:paraId="752E3367" w14:textId="77777777" w:rsidR="00C715CA" w:rsidRDefault="00C715CA"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D0169F" w:rsidRDefault="00D0169F">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D0169F" w:rsidRDefault="00D0169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3B44"/>
    <w:rsid w:val="00105A1F"/>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1F3552"/>
    <w:rsid w:val="002007BE"/>
    <w:rsid w:val="00203220"/>
    <w:rsid w:val="002176E5"/>
    <w:rsid w:val="00222D87"/>
    <w:rsid w:val="00266A31"/>
    <w:rsid w:val="00275210"/>
    <w:rsid w:val="00277A92"/>
    <w:rsid w:val="0028363F"/>
    <w:rsid w:val="00285F35"/>
    <w:rsid w:val="00296A73"/>
    <w:rsid w:val="002B53D7"/>
    <w:rsid w:val="002C030A"/>
    <w:rsid w:val="002C20C1"/>
    <w:rsid w:val="002D325A"/>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06BF1"/>
    <w:rsid w:val="00422944"/>
    <w:rsid w:val="00425D53"/>
    <w:rsid w:val="00427AD5"/>
    <w:rsid w:val="004440B6"/>
    <w:rsid w:val="00447533"/>
    <w:rsid w:val="00451048"/>
    <w:rsid w:val="00466C7E"/>
    <w:rsid w:val="004743BF"/>
    <w:rsid w:val="00491646"/>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601B1B"/>
    <w:rsid w:val="00611D06"/>
    <w:rsid w:val="00623722"/>
    <w:rsid w:val="006251AB"/>
    <w:rsid w:val="006256B1"/>
    <w:rsid w:val="00627623"/>
    <w:rsid w:val="0063478E"/>
    <w:rsid w:val="006470E3"/>
    <w:rsid w:val="006566B2"/>
    <w:rsid w:val="00662907"/>
    <w:rsid w:val="00665CD8"/>
    <w:rsid w:val="006927C6"/>
    <w:rsid w:val="00694DDA"/>
    <w:rsid w:val="006C52FC"/>
    <w:rsid w:val="006D0BB4"/>
    <w:rsid w:val="006D30B8"/>
    <w:rsid w:val="006D46EC"/>
    <w:rsid w:val="006D5D92"/>
    <w:rsid w:val="006D7321"/>
    <w:rsid w:val="006E2800"/>
    <w:rsid w:val="006E285B"/>
    <w:rsid w:val="006F6AD8"/>
    <w:rsid w:val="00713720"/>
    <w:rsid w:val="007177FA"/>
    <w:rsid w:val="007234D3"/>
    <w:rsid w:val="00734796"/>
    <w:rsid w:val="00743F8E"/>
    <w:rsid w:val="00746627"/>
    <w:rsid w:val="00754846"/>
    <w:rsid w:val="00754B85"/>
    <w:rsid w:val="00767EDE"/>
    <w:rsid w:val="00781750"/>
    <w:rsid w:val="00792571"/>
    <w:rsid w:val="007932BC"/>
    <w:rsid w:val="007A182C"/>
    <w:rsid w:val="007A5D2A"/>
    <w:rsid w:val="007C3F98"/>
    <w:rsid w:val="007C4753"/>
    <w:rsid w:val="007D12F3"/>
    <w:rsid w:val="007E223E"/>
    <w:rsid w:val="007E52DD"/>
    <w:rsid w:val="007E5E8F"/>
    <w:rsid w:val="007F21C4"/>
    <w:rsid w:val="00805DBB"/>
    <w:rsid w:val="0080790D"/>
    <w:rsid w:val="00810A6E"/>
    <w:rsid w:val="00811A9D"/>
    <w:rsid w:val="008163C6"/>
    <w:rsid w:val="00817843"/>
    <w:rsid w:val="008370C1"/>
    <w:rsid w:val="008411E7"/>
    <w:rsid w:val="0084190E"/>
    <w:rsid w:val="008419FA"/>
    <w:rsid w:val="00865133"/>
    <w:rsid w:val="00875B3D"/>
    <w:rsid w:val="0088050B"/>
    <w:rsid w:val="00886884"/>
    <w:rsid w:val="008A0DE3"/>
    <w:rsid w:val="008A2082"/>
    <w:rsid w:val="008B787C"/>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82CD3"/>
    <w:rsid w:val="00984E43"/>
    <w:rsid w:val="009964BC"/>
    <w:rsid w:val="009A1615"/>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A4649"/>
    <w:rsid w:val="00AB668E"/>
    <w:rsid w:val="00AC011A"/>
    <w:rsid w:val="00AD1910"/>
    <w:rsid w:val="00AD5D0B"/>
    <w:rsid w:val="00AD6BBC"/>
    <w:rsid w:val="00AE0F96"/>
    <w:rsid w:val="00AE5407"/>
    <w:rsid w:val="00B01151"/>
    <w:rsid w:val="00B01191"/>
    <w:rsid w:val="00B02D46"/>
    <w:rsid w:val="00B04FD1"/>
    <w:rsid w:val="00B0564F"/>
    <w:rsid w:val="00B077D0"/>
    <w:rsid w:val="00B115EC"/>
    <w:rsid w:val="00B16B69"/>
    <w:rsid w:val="00B16D60"/>
    <w:rsid w:val="00B22A82"/>
    <w:rsid w:val="00B373AC"/>
    <w:rsid w:val="00B55967"/>
    <w:rsid w:val="00B62CD2"/>
    <w:rsid w:val="00B66D3D"/>
    <w:rsid w:val="00B73877"/>
    <w:rsid w:val="00B75767"/>
    <w:rsid w:val="00B77118"/>
    <w:rsid w:val="00B91ABA"/>
    <w:rsid w:val="00B92BD8"/>
    <w:rsid w:val="00BB1890"/>
    <w:rsid w:val="00BC5A77"/>
    <w:rsid w:val="00BE378F"/>
    <w:rsid w:val="00BF382E"/>
    <w:rsid w:val="00BF5B7C"/>
    <w:rsid w:val="00C01AB4"/>
    <w:rsid w:val="00C13A47"/>
    <w:rsid w:val="00C2029E"/>
    <w:rsid w:val="00C204AE"/>
    <w:rsid w:val="00C206E8"/>
    <w:rsid w:val="00C3423B"/>
    <w:rsid w:val="00C514FE"/>
    <w:rsid w:val="00C5384F"/>
    <w:rsid w:val="00C61F79"/>
    <w:rsid w:val="00C6479A"/>
    <w:rsid w:val="00C715CA"/>
    <w:rsid w:val="00C77DFC"/>
    <w:rsid w:val="00C802E3"/>
    <w:rsid w:val="00C80FB1"/>
    <w:rsid w:val="00C8743C"/>
    <w:rsid w:val="00CB4FE1"/>
    <w:rsid w:val="00CB5328"/>
    <w:rsid w:val="00CB715E"/>
    <w:rsid w:val="00CB7C88"/>
    <w:rsid w:val="00CD0389"/>
    <w:rsid w:val="00CD12D8"/>
    <w:rsid w:val="00CD55E5"/>
    <w:rsid w:val="00CE5B1A"/>
    <w:rsid w:val="00CF0D68"/>
    <w:rsid w:val="00CF12E2"/>
    <w:rsid w:val="00CF4B6A"/>
    <w:rsid w:val="00CF6B9F"/>
    <w:rsid w:val="00D0169F"/>
    <w:rsid w:val="00D01896"/>
    <w:rsid w:val="00D071FF"/>
    <w:rsid w:val="00D1582E"/>
    <w:rsid w:val="00D16B97"/>
    <w:rsid w:val="00D26E1C"/>
    <w:rsid w:val="00D3791E"/>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28B"/>
    <w:rsid w:val="00E23C88"/>
    <w:rsid w:val="00E41DC9"/>
    <w:rsid w:val="00E42B13"/>
    <w:rsid w:val="00E44AF8"/>
    <w:rsid w:val="00E45170"/>
    <w:rsid w:val="00E45CA3"/>
    <w:rsid w:val="00E47BC8"/>
    <w:rsid w:val="00E5414C"/>
    <w:rsid w:val="00E612EE"/>
    <w:rsid w:val="00E82E2C"/>
    <w:rsid w:val="00E907A3"/>
    <w:rsid w:val="00E939C4"/>
    <w:rsid w:val="00E9713E"/>
    <w:rsid w:val="00EB014D"/>
    <w:rsid w:val="00EB0B60"/>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E598BA-4355-C84A-B1A1-E481B9E82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41</Pages>
  <Words>7240</Words>
  <Characters>41274</Characters>
  <Application>Microsoft Macintosh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48418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26</cp:revision>
  <cp:lastPrinted>2018-10-04T13:22:00Z</cp:lastPrinted>
  <dcterms:created xsi:type="dcterms:W3CDTF">2019-02-04T16:57:00Z</dcterms:created>
  <dcterms:modified xsi:type="dcterms:W3CDTF">2019-02-11T18:24:00Z</dcterms:modified>
</cp:coreProperties>
</file>